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34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4543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Comitale James J</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40"/>
        <w:spacing w:after="0" w:line="284" w:lineRule="auto"/>
        <w:rPr>
          <w:sz w:val="20"/>
          <w:szCs w:val="20"/>
          <w:color w:val="auto"/>
        </w:rPr>
      </w:pPr>
      <w:r>
        <w:rPr>
          <w:rFonts w:ascii="Times New Roman" w:cs="Times New Roman" w:eastAsia="Times New Roman" w:hAnsi="Times New Roman"/>
          <w:sz w:val="17"/>
          <w:szCs w:val="17"/>
          <w:color w:val="0000FF"/>
        </w:rPr>
        <w:t>C/O OLLIE'S BARGAIN OUTLET HOLDINGS,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6295 ALLENTOWN BOULEVARD, SUITE 1</w:t>
      </w:r>
    </w:p>
    <w:p>
      <w:pPr>
        <w:spacing w:after="0" w:line="28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HARRISBURG</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17112</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Ollie's Bargain Outlet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OLLI</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92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2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SVP, General Counsel</w:t>
            </w:r>
          </w:p>
        </w:tc>
        <w:tc>
          <w:tcPr>
            <w:tcW w:w="0" w:type="dxa"/>
            <w:vAlign w:val="bottom"/>
          </w:tcPr>
          <w:p>
            <w:pPr>
              <w:spacing w:after="0"/>
              <w:rPr>
                <w:sz w:val="1"/>
                <w:szCs w:val="1"/>
                <w:color w:val="auto"/>
              </w:rPr>
            </w:pPr>
          </w:p>
        </w:tc>
      </w:tr>
      <w:tr>
        <w:trPr>
          <w:trHeight w:val="1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0" w:type="dxa"/>
            <w:vAlign w:val="bottom"/>
            <w:gridSpan w:val="2"/>
            <w:vMerge w:val="continue"/>
          </w:tcPr>
          <w:p>
            <w:pPr>
              <w:spacing w:after="0"/>
              <w:rPr>
                <w:sz w:val="2"/>
                <w:szCs w:val="2"/>
                <w:color w:val="auto"/>
              </w:rPr>
            </w:pPr>
          </w:p>
        </w:tc>
        <w:tc>
          <w:tcPr>
            <w:tcW w:w="3640" w:type="dxa"/>
            <w:vAlign w:val="bottom"/>
            <w:gridSpan w:val="2"/>
            <w:vMerge w:val="continue"/>
          </w:tcPr>
          <w:p>
            <w:pPr>
              <w:spacing w:after="0"/>
              <w:rPr>
                <w:sz w:val="2"/>
                <w:szCs w:val="2"/>
                <w:color w:val="auto"/>
              </w:rPr>
            </w:pPr>
          </w:p>
        </w:tc>
        <w:tc>
          <w:tcPr>
            <w:tcW w:w="1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03/23/2026</w:t>
            </w:r>
          </w:p>
        </w:tc>
        <w:tc>
          <w:tcPr>
            <w:tcW w:w="7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50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tcBorders>
              <w:bottom w:val="single" w:sz="8" w:color="2C2C2C"/>
            </w:tcBorders>
            <w:gridSpan w:val="2"/>
          </w:tcPr>
          <w:p>
            <w:pPr>
              <w:jc w:val="right"/>
              <w:ind w:right="42"/>
              <w:spacing w:after="0"/>
              <w:rPr>
                <w:sz w:val="20"/>
                <w:szCs w:val="20"/>
                <w:color w:val="auto"/>
              </w:rPr>
            </w:pPr>
            <w:r>
              <w:rPr>
                <w:rFonts w:ascii="Times New Roman" w:cs="Times New Roman" w:eastAsia="Times New Roman" w:hAnsi="Times New Roman"/>
                <w:sz w:val="17"/>
                <w:szCs w:val="17"/>
                <w:color w:val="0000FF"/>
              </w:rPr>
              <w:t>03/23/2026</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6"/>
                <w:szCs w:val="26"/>
                <w:color w:val="0000FF"/>
                <w:w w:val="91"/>
                <w:vertAlign w:val="subscript"/>
              </w:rPr>
              <w:t>M</w:t>
            </w:r>
            <w:r>
              <w:rPr>
                <w:rFonts w:ascii="Times New Roman" w:cs="Times New Roman" w:eastAsia="Times New Roman" w:hAnsi="Times New Roman"/>
                <w:sz w:val="11"/>
                <w:szCs w:val="11"/>
                <w:color w:val="008000"/>
                <w:w w:val="91"/>
              </w:rPr>
              <w:t>(1)</w:t>
            </w:r>
          </w:p>
        </w:tc>
        <w:tc>
          <w:tcPr>
            <w:tcW w:w="660" w:type="dxa"/>
            <w:vAlign w:val="bottom"/>
            <w:tcBorders>
              <w:bottom w:val="single" w:sz="8" w:color="2C2C2C"/>
            </w:tcBorders>
          </w:tcPr>
          <w:p>
            <w:pPr>
              <w:jc w:val="right"/>
              <w:ind w:right="35"/>
              <w:spacing w:after="0"/>
              <w:rPr>
                <w:sz w:val="20"/>
                <w:szCs w:val="20"/>
                <w:color w:val="auto"/>
              </w:rPr>
            </w:pPr>
            <w:r>
              <w:rPr>
                <w:rFonts w:ascii="Times New Roman" w:cs="Times New Roman" w:eastAsia="Times New Roman" w:hAnsi="Times New Roman"/>
                <w:sz w:val="17"/>
                <w:szCs w:val="17"/>
                <w:color w:val="0000FF"/>
              </w:rPr>
              <w:t>862</w:t>
            </w:r>
          </w:p>
        </w:tc>
        <w:tc>
          <w:tcPr>
            <w:tcW w:w="7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3,760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tcBorders>
              <w:bottom w:val="single" w:sz="8" w:color="2C2C2C"/>
            </w:tcBorders>
            <w:gridSpan w:val="2"/>
          </w:tcPr>
          <w:p>
            <w:pPr>
              <w:jc w:val="right"/>
              <w:ind w:right="42"/>
              <w:spacing w:after="0"/>
              <w:rPr>
                <w:sz w:val="20"/>
                <w:szCs w:val="20"/>
                <w:color w:val="auto"/>
              </w:rPr>
            </w:pPr>
            <w:r>
              <w:rPr>
                <w:rFonts w:ascii="Times New Roman" w:cs="Times New Roman" w:eastAsia="Times New Roman" w:hAnsi="Times New Roman"/>
                <w:sz w:val="17"/>
                <w:szCs w:val="17"/>
                <w:color w:val="0000FF"/>
              </w:rPr>
              <w:t>03/23/2026</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(3)</w:t>
            </w:r>
          </w:p>
        </w:tc>
        <w:tc>
          <w:tcPr>
            <w:tcW w:w="660" w:type="dxa"/>
            <w:vAlign w:val="bottom"/>
            <w:tcBorders>
              <w:bottom w:val="single" w:sz="8" w:color="2C2C2C"/>
            </w:tcBorders>
          </w:tcPr>
          <w:p>
            <w:pPr>
              <w:jc w:val="right"/>
              <w:ind w:right="35"/>
              <w:spacing w:after="0"/>
              <w:rPr>
                <w:sz w:val="20"/>
                <w:szCs w:val="20"/>
                <w:color w:val="auto"/>
              </w:rPr>
            </w:pPr>
            <w:r>
              <w:rPr>
                <w:rFonts w:ascii="Times New Roman" w:cs="Times New Roman" w:eastAsia="Times New Roman" w:hAnsi="Times New Roman"/>
                <w:sz w:val="17"/>
                <w:szCs w:val="17"/>
                <w:color w:val="0000FF"/>
              </w:rPr>
              <w:t>381</w:t>
            </w:r>
          </w:p>
        </w:tc>
        <w:tc>
          <w:tcPr>
            <w:tcW w:w="7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94.45</w:t>
            </w:r>
            <w:r>
              <w:rPr>
                <w:rFonts w:ascii="Times New Roman" w:cs="Times New Roman" w:eastAsia="Times New Roman" w:hAnsi="Times New Roman"/>
                <w:sz w:val="21"/>
                <w:szCs w:val="21"/>
                <w:color w:val="008000"/>
                <w:w w:val="96"/>
                <w:vertAlign w:val="superscript"/>
              </w:rPr>
              <w:t>(4)</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3,379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jc w:val="center"/>
              <w:ind w:left="8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0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jc w:val="right"/>
              <w:ind w:right="215"/>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862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4" w:lineRule="exact"/>
              <w:rPr>
                <w:sz w:val="20"/>
                <w:szCs w:val="20"/>
                <w:color w:val="auto"/>
              </w:rPr>
            </w:pPr>
            <w:r>
              <w:rPr>
                <w:rFonts w:ascii="Times New Roman" w:cs="Times New Roman" w:eastAsia="Times New Roman" w:hAnsi="Times New Roman"/>
                <w:sz w:val="13"/>
                <w:szCs w:val="13"/>
                <w:color w:val="0000FF"/>
              </w:rPr>
              <w:t>03/23/2026</w:t>
            </w: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862</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6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862</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conversion upon vesting of a restricted stock award into common stock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Exempt transaction pursuant to Section 16b-3(e) - payment of exercise price or tax liability by delivering or withholding securities incident to the receipt, exercise or vesting of a security issued in accordance with Rule 16b-3. All of the shares reported as disposed of in this Form 4 were relinquished by the reporting person and cancelled by the issuer in exchange for the issuer's agreement to pay federal and state tax withholding obligations of the reporting person resulting from the vesting of restricted stock units.</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equivalent to the fair market value based on the closing market price as of March 23,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RSUs represents a contingent right to receive one share of Common Stock at vesting.</w:t>
      </w:r>
    </w:p>
    <w:p>
      <w:pPr>
        <w:spacing w:after="0" w:line="45" w:lineRule="exact"/>
        <w:rPr>
          <w:rFonts w:ascii="Times New Roman" w:cs="Times New Roman" w:eastAsia="Times New Roman" w:hAnsi="Times New Roman"/>
          <w:sz w:val="13"/>
          <w:szCs w:val="13"/>
          <w:color w:val="008000"/>
        </w:rPr>
      </w:pPr>
    </w:p>
    <w:p>
      <w:pPr>
        <w:ind w:left="40" w:right="32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and become exercisable in 25% installments on each anniversary date of the grant, March 23, 2023, subject to continued service through each applicable vesting date. The reporting person was granted 3,449 RSUs, of which 862 vested on March 23, 2024; 863 vested on March 23, 2025; 862 vested on March 23, 2026; and 862 vest on March 23, 2027.</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James J. Comitale</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03/25/2025</w:t>
            </w:r>
          </w:p>
        </w:tc>
      </w:tr>
      <w:tr>
        <w:trPr>
          <w:trHeight w:val="20"/>
        </w:trPr>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9656" TargetMode="External"/><Relationship Id="rId14" Type="http://schemas.openxmlformats.org/officeDocument/2006/relationships/hyperlink" Target="http://www.sec.gov/cgi-bin/browse-edgar?action=getcompany&amp;CIK=00016393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2026-03-25T16:49:47Z</dcterms:created>
  <dcterms:modified xsi:type="dcterms:W3CDTF">2026-03-25T16:49:47Z</dcterms:modified>
</cp:coreProperties>
</file>