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3"/>
              </w:rPr>
            </w:pPr>
            <w:hyperlink r:id="rId11">
              <w:r>
                <w:rPr>
                  <w:rFonts w:ascii="Arial" w:cs="Arial" w:eastAsia="Arial" w:hAnsi="Arial"/>
                  <w:sz w:val="22"/>
                  <w:szCs w:val="22"/>
                  <w:color w:val="0000EE"/>
                  <w:w w:val="93"/>
                </w:rPr>
                <w:t>Scharfenberger Joseph Michael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Ollie's Bargain Outlet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OLLI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CCMP CAPITAL,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245 PARK AVENUE, 16TH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10167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8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700" w:type="dxa"/>
            <w:vAlign w:val="bottom"/>
            <w:gridSpan w:val="8"/>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008000"/>
              </w:rPr>
              <w:t>See Exhibit 24.1 - Power of Attorney.</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9"/>
              </w:rPr>
              <w:t>/s/ Richard G. Jansen, as</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07/15/2015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Know all by these presents, that the undersigned hereby constitutes and appoints each of Richard G. Jansen, Allison Bernbach, and Jordan Ast, or any one of them signing singly, and with full power of substitution, the undersigned’s true and lawful attorney-in-fact to:</w:t>
      </w:r>
    </w:p>
    <w:p>
      <w:pPr>
        <w:spacing w:after="0" w:line="213" w:lineRule="exact"/>
        <w:rPr>
          <w:sz w:val="20"/>
          <w:szCs w:val="20"/>
          <w:color w:val="auto"/>
        </w:rPr>
      </w:pPr>
    </w:p>
    <w:p>
      <w:pPr>
        <w:jc w:val="both"/>
        <w:ind w:left="1300" w:hanging="355"/>
        <w:spacing w:after="0" w:line="297"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and Schedules 13D or 13G, including amendments thereto, relating to the securities of Ollie’s Bargain Outlet Holdings, Inc. (the “Company”) in accordance with Section 16(a) and Section 13 of the Securities Exchange Act of 1934 and the rules thereunder;</w:t>
      </w:r>
    </w:p>
    <w:p>
      <w:pPr>
        <w:spacing w:after="0" w:line="161" w:lineRule="exact"/>
        <w:rPr>
          <w:rFonts w:ascii="Arial" w:cs="Arial" w:eastAsia="Arial" w:hAnsi="Arial"/>
          <w:sz w:val="19"/>
          <w:szCs w:val="19"/>
          <w:color w:val="auto"/>
        </w:rPr>
      </w:pPr>
    </w:p>
    <w:p>
      <w:pPr>
        <w:jc w:val="both"/>
        <w:ind w:left="1300" w:hanging="355"/>
        <w:spacing w:after="0" w:line="297"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of all acts for and on behalf of the undersigned which may be necessary or desirable to complete and execute any such Form 3, 4, or 5 or Schedule 13D or 13G, complete and execute any amendment or amendments thereto, and timely file such form with the SEC and any stock exchange or similar authority; and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1300" w:hanging="355"/>
        <w:spacing w:after="0" w:line="236"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undersigned hereby grants to each such attorney-in-fact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responsibility to comply with Section 16 or Section 13 of the Securities Exchange Act of 1934.</w:t>
      </w: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and Schedules 13D or 13G with respect to the undersigned’s holdings of and transactions in securities issued by the Company, unless earlier revoked by the undersigned in a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700405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IN WITNESS WHEREOF, the undersigned has caused this Power of Attorney to be executed this 30th day of June, 2015.</w:t>
      </w: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Joseph Scharfenberger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7620</wp:posOffset>
            </wp:positionV>
            <wp:extent cx="289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Joseph Scharfenberger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7620</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Print Name</w:t>
      </w:r>
    </w:p>
    <w:sectPr>
      <w:pgSz w:w="11900" w:h="16838" w:orient="portrait"/>
      <w:cols w:equalWidth="0" w:num="1">
        <w:col w:w="10560"/>
      </w:cols>
      <w:pgMar w:left="240" w:top="753"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26284" TargetMode="External"/><Relationship Id="rId12"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2019-12-23T21:39:57Z</dcterms:created>
  <dcterms:modified xsi:type="dcterms:W3CDTF">2019-12-23T21:39:57Z</dcterms:modified>
</cp:coreProperties>
</file>