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65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654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 der Valk Eric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283" w:lineRule="auto"/>
        <w:rPr>
          <w:sz w:val="20"/>
          <w:szCs w:val="20"/>
          <w:color w:val="auto"/>
        </w:rPr>
      </w:pPr>
      <w:r>
        <w:rPr>
          <w:rFonts w:ascii="Times New Roman" w:cs="Times New Roman" w:eastAsia="Times New Roman" w:hAnsi="Times New Roman"/>
          <w:sz w:val="17"/>
          <w:szCs w:val="17"/>
          <w:color w:val="0000FF"/>
        </w:rPr>
        <w:t>C/O OLLIE'S BARGAIN OUTLET HOLDINGS,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6295 ALLENTOWN BOULEVARD, SUITE 1</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HARRISBURG</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17112</w:t>
            </w:r>
          </w:p>
        </w:tc>
      </w:tr>
      <w:tr>
        <w:trPr>
          <w:trHeight w:val="151"/>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Ollie's Bargain Outlet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OLLI</w:t>
            </w:r>
          </w:p>
        </w:tc>
        <w:tc>
          <w:tcPr>
            <w:tcW w:w="20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920" w:type="dxa"/>
            <w:vAlign w:val="bottom"/>
            <w:tcBorders>
              <w:top w:val="single" w:sz="8" w:color="0000EE"/>
            </w:tcBorders>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240" w:type="dxa"/>
            <w:vAlign w:val="bottom"/>
          </w:tcPr>
          <w:p>
            <w:pPr>
              <w:ind w:left="1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240" w:type="dxa"/>
            <w:vAlign w:val="bottom"/>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92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86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1240" w:type="dxa"/>
            <w:vAlign w:val="bottom"/>
          </w:tcPr>
          <w:p>
            <w:pPr>
              <w:ind w:left="1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860" w:type="dxa"/>
            <w:vAlign w:val="bottom"/>
            <w:vMerge w:val="restart"/>
          </w:tcPr>
          <w:p>
            <w:pPr>
              <w:ind w:left="1140"/>
              <w:spacing w:after="0"/>
              <w:rPr>
                <w:sz w:val="20"/>
                <w:szCs w:val="20"/>
                <w:color w:val="auto"/>
              </w:rPr>
            </w:pPr>
            <w:r>
              <w:rPr>
                <w:rFonts w:ascii="Times New Roman" w:cs="Times New Roman" w:eastAsia="Times New Roman" w:hAnsi="Times New Roman"/>
                <w:sz w:val="17"/>
                <w:szCs w:val="17"/>
                <w:color w:val="0000FF"/>
              </w:rPr>
              <w:t>President</w:t>
            </w: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31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06/06/2024</w:t>
            </w: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1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06/06/2024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2,579</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(2)</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6,737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06/06/2024</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1,122</w:t>
            </w:r>
          </w:p>
        </w:tc>
        <w:tc>
          <w:tcPr>
            <w:tcW w:w="68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84.35</w:t>
            </w:r>
            <w:r>
              <w:rPr>
                <w:rFonts w:ascii="Times New Roman" w:cs="Times New Roman" w:eastAsia="Times New Roman" w:hAnsi="Times New Roman"/>
                <w:sz w:val="21"/>
                <w:szCs w:val="21"/>
                <w:color w:val="008000"/>
                <w:w w:val="99"/>
                <w:vertAlign w:val="superscript"/>
              </w:rPr>
              <w:t>(4)</w:t>
            </w:r>
          </w:p>
        </w:tc>
        <w:tc>
          <w:tcPr>
            <w:tcW w:w="116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5,615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0"/>
          </w:tcPr>
          <w:p>
            <w:pPr>
              <w:ind w:lef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2,579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06/06/2024</w:t>
            </w: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2,579</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2,578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upon vesting restricted stock awards into common stock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16b-3(e) - payment of exercise price or tax liability by delivering or withholding securities incident to the receipt, exercise or vesting of a security issued in accordance with Rule 16b-3. All of the shares reported as disposed of in this Form 4 were relinquished by the reporting person and cancelled by the issuer in exchange for the issuer's agreement to pay federal and state tax withholding obligations of the reporting person resulting from the vesting of restricted stock units.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equivalent to the fair market value based on the closing market price as of June 6, 2024.</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RSUs represents a contingent right to receive one share of Common Stock at vesting.</w:t>
      </w:r>
    </w:p>
    <w:p>
      <w:pPr>
        <w:spacing w:after="0" w:line="45" w:lineRule="exact"/>
        <w:rPr>
          <w:rFonts w:ascii="Times New Roman" w:cs="Times New Roman" w:eastAsia="Times New Roman" w:hAnsi="Times New Roman"/>
          <w:sz w:val="13"/>
          <w:szCs w:val="13"/>
          <w:color w:val="008000"/>
        </w:rPr>
      </w:pPr>
    </w:p>
    <w:p>
      <w:pPr>
        <w:ind w:left="40" w:right="3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50% of the RSUs vested and became exercisable on June 6, 2023, the first anniversary date of the grant, with 25% of the RSUs vesting and becoming exercisable on each of the second and third anniversaries of the date of grant, subject to continued service through each applicable vesting date. The reporting person was granted 10,314 restricted stock units on June 6, 2022, of which 5,157 vested on June 6, 2023; 2,579 vested on June 6, 2024; and 2,578 will vest on June 6, 2025.</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J. Comitale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06/07/2024</w:t>
            </w: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0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8889" TargetMode="External"/><Relationship Id="rId13" Type="http://schemas.openxmlformats.org/officeDocument/2006/relationships/hyperlink" Target="http://www.sec.gov/cgi-bin/browse-edgar?action=getcompany&amp;CIK=00016393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2024-06-07T16:34:24Z</dcterms:created>
  <dcterms:modified xsi:type="dcterms:W3CDTF">2024-06-07T16:34:24Z</dcterms:modified>
</cp:coreProperties>
</file>