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-663575</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-629285</wp:posOffset>
            </wp:positionV>
            <wp:extent cx="58420" cy="642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747395</wp:posOffset>
            </wp:positionV>
            <wp:extent cx="6993255" cy="6203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203315"/>
                    </a:xfrm>
                    <a:prstGeom prst="rect">
                      <a:avLst/>
                    </a:prstGeom>
                    <a:noFill/>
                  </pic:spPr>
                </pic:pic>
              </a:graphicData>
            </a:graphic>
          </wp:anchor>
        </w:drawing>
      </w:r>
    </w:p>
    <w:p>
      <w:pPr>
        <w:spacing w:after="0" w:line="1242"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McLain Kevin</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line="282" w:lineRule="auto"/>
        <w:rPr>
          <w:sz w:val="20"/>
          <w:szCs w:val="20"/>
          <w:color w:val="auto"/>
        </w:rPr>
      </w:pPr>
      <w:r>
        <w:rPr>
          <w:rFonts w:ascii="Times New Roman" w:cs="Times New Roman" w:eastAsia="Times New Roman" w:hAnsi="Times New Roman"/>
          <w:sz w:val="17"/>
          <w:szCs w:val="17"/>
          <w:color w:val="0000FF"/>
        </w:rPr>
        <w:t>C/O OLLIE'S BARGAIN OUTLET HOLDINGS,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6295 ALLENTOWN BOULEVARD, SUITE 1</w:t>
      </w:r>
    </w:p>
    <w:p>
      <w:pPr>
        <w:spacing w:after="0" w:line="28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HARRISBURG</w:t>
        <w:tab/>
        <w:t>PA</w:t>
      </w:r>
      <w:r>
        <w:rPr>
          <w:sz w:val="20"/>
          <w:szCs w:val="20"/>
          <w:color w:val="auto"/>
        </w:rPr>
        <w:tab/>
      </w:r>
      <w:r>
        <w:rPr>
          <w:rFonts w:ascii="Times New Roman" w:cs="Times New Roman" w:eastAsia="Times New Roman" w:hAnsi="Times New Roman"/>
          <w:sz w:val="16"/>
          <w:szCs w:val="16"/>
          <w:color w:val="0000FF"/>
        </w:rPr>
        <w:t>17112</w:t>
      </w:r>
    </w:p>
    <w:p>
      <w:pPr>
        <w:spacing w:after="0" w:line="32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3"/>
        </w:trPr>
        <w:tc>
          <w:tcPr>
            <w:tcW w:w="3820" w:type="dxa"/>
            <w:vAlign w:val="bottom"/>
            <w:gridSpan w:val="4"/>
          </w:tcPr>
          <w:p>
            <w:pPr>
              <w:ind w:left="60"/>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Ollie's Bargain Outlet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OLLI</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2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4"/>
        </w:trPr>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2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80" w:type="dxa"/>
            <w:vAlign w:val="bottom"/>
            <w:gridSpan w:val="2"/>
            <w:vMerge w:val="continue"/>
          </w:tcPr>
          <w:p>
            <w:pPr>
              <w:spacing w:after="0"/>
              <w:rPr>
                <w:sz w:val="12"/>
                <w:szCs w:val="12"/>
                <w:color w:val="auto"/>
              </w:rPr>
            </w:pPr>
          </w:p>
        </w:tc>
        <w:tc>
          <w:tcPr>
            <w:tcW w:w="2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960"/>
              <w:spacing w:after="0"/>
              <w:rPr>
                <w:sz w:val="20"/>
                <w:szCs w:val="20"/>
                <w:color w:val="auto"/>
              </w:rPr>
            </w:pPr>
            <w:r>
              <w:rPr>
                <w:rFonts w:ascii="Times New Roman" w:cs="Times New Roman" w:eastAsia="Times New Roman" w:hAnsi="Times New Roman"/>
                <w:sz w:val="17"/>
                <w:szCs w:val="17"/>
                <w:color w:val="0000FF"/>
              </w:rPr>
              <w:t>SVP, Merchandising</w:t>
            </w:r>
          </w:p>
        </w:tc>
        <w:tc>
          <w:tcPr>
            <w:tcW w:w="0" w:type="dxa"/>
            <w:vAlign w:val="bottom"/>
          </w:tcPr>
          <w:p>
            <w:pPr>
              <w:spacing w:after="0"/>
              <w:rPr>
                <w:sz w:val="1"/>
                <w:szCs w:val="1"/>
                <w:color w:val="auto"/>
              </w:rPr>
            </w:pPr>
          </w:p>
        </w:tc>
      </w:tr>
      <w:tr>
        <w:trPr>
          <w:trHeight w:val="15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80" w:type="dxa"/>
            <w:vAlign w:val="bottom"/>
            <w:gridSpan w:val="2"/>
            <w:vMerge w:val="continue"/>
          </w:tcPr>
          <w:p>
            <w:pPr>
              <w:spacing w:after="0"/>
              <w:rPr>
                <w:sz w:val="2"/>
                <w:szCs w:val="2"/>
                <w:color w:val="auto"/>
              </w:rPr>
            </w:pPr>
          </w:p>
        </w:tc>
        <w:tc>
          <w:tcPr>
            <w:tcW w:w="3640" w:type="dxa"/>
            <w:vAlign w:val="bottom"/>
            <w:gridSpan w:val="2"/>
            <w:vMerge w:val="continue"/>
          </w:tcPr>
          <w:p>
            <w:pPr>
              <w:spacing w:after="0"/>
              <w:rPr>
                <w:sz w:val="2"/>
                <w:szCs w:val="2"/>
                <w:color w:val="auto"/>
              </w:rPr>
            </w:pPr>
          </w:p>
        </w:tc>
        <w:tc>
          <w:tcPr>
            <w:tcW w:w="1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31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04/01/2025</w:t>
            </w:r>
          </w:p>
        </w:tc>
        <w:tc>
          <w:tcPr>
            <w:tcW w:w="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9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30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500" w:space="34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2"/>
          </w:tcPr>
          <w:p>
            <w:pPr>
              <w:jc w:val="right"/>
              <w:ind w:right="161"/>
              <w:spacing w:after="0"/>
              <w:rPr>
                <w:sz w:val="20"/>
                <w:szCs w:val="20"/>
                <w:color w:val="auto"/>
              </w:rPr>
            </w:pPr>
            <w:r>
              <w:rPr>
                <w:rFonts w:ascii="Times New Roman" w:cs="Times New Roman" w:eastAsia="Times New Roman" w:hAnsi="Times New Roman"/>
                <w:sz w:val="17"/>
                <w:szCs w:val="17"/>
                <w:color w:val="0000FF"/>
              </w:rPr>
              <w:t>04/01/2025</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117"/>
              <w:spacing w:after="0"/>
              <w:rPr>
                <w:sz w:val="20"/>
                <w:szCs w:val="20"/>
                <w:color w:val="auto"/>
              </w:rPr>
            </w:pPr>
            <w:r>
              <w:rPr>
                <w:rFonts w:ascii="Times New Roman" w:cs="Times New Roman" w:eastAsia="Times New Roman" w:hAnsi="Times New Roman"/>
                <w:sz w:val="17"/>
                <w:szCs w:val="17"/>
                <w:color w:val="0000FF"/>
              </w:rPr>
              <w:t>842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spacing w:after="0" w:line="310"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13,178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2"/>
          </w:tcPr>
          <w:p>
            <w:pPr>
              <w:jc w:val="right"/>
              <w:ind w:right="161"/>
              <w:spacing w:after="0"/>
              <w:rPr>
                <w:sz w:val="20"/>
                <w:szCs w:val="20"/>
                <w:color w:val="auto"/>
              </w:rPr>
            </w:pPr>
            <w:r>
              <w:rPr>
                <w:rFonts w:ascii="Times New Roman" w:cs="Times New Roman" w:eastAsia="Times New Roman" w:hAnsi="Times New Roman"/>
                <w:sz w:val="17"/>
                <w:szCs w:val="17"/>
                <w:color w:val="0000FF"/>
              </w:rPr>
              <w:t>04/01/2025</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jc w:val="right"/>
              <w:ind w:right="117"/>
              <w:spacing w:after="0"/>
              <w:rPr>
                <w:sz w:val="20"/>
                <w:szCs w:val="20"/>
                <w:color w:val="auto"/>
              </w:rPr>
            </w:pPr>
            <w:r>
              <w:rPr>
                <w:rFonts w:ascii="Times New Roman" w:cs="Times New Roman" w:eastAsia="Times New Roman" w:hAnsi="Times New Roman"/>
                <w:sz w:val="17"/>
                <w:szCs w:val="17"/>
                <w:color w:val="0000FF"/>
              </w:rPr>
              <w:t>364</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114.55</w:t>
            </w:r>
            <w:r>
              <w:rPr>
                <w:rFonts w:ascii="Times New Roman" w:cs="Times New Roman" w:eastAsia="Times New Roman" w:hAnsi="Times New Roman"/>
                <w:sz w:val="21"/>
                <w:szCs w:val="21"/>
                <w:color w:val="008000"/>
                <w:w w:val="90"/>
                <w:vertAlign w:val="superscript"/>
              </w:rPr>
              <w:t>(4)</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12,814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140" w:type="dxa"/>
            <w:vAlign w:val="bottom"/>
            <w:tcBorders>
              <w:top w:val="single" w:sz="8" w:color="2C2C2C"/>
            </w:tcBorders>
            <w:gridSpan w:val="13"/>
          </w:tcPr>
          <w:p>
            <w:pPr>
              <w:jc w:val="center"/>
              <w:ind w:right="1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20" w:type="dxa"/>
            <w:vAlign w:val="bottom"/>
            <w:gridSpan w:val="10"/>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842</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vMerge w:val="continue"/>
          </w:tcPr>
          <w:p>
            <w:pPr>
              <w:spacing w:after="0"/>
              <w:rPr>
                <w:sz w:val="5"/>
                <w:szCs w:val="5"/>
                <w:color w:val="auto"/>
              </w:rPr>
            </w:pPr>
          </w:p>
        </w:tc>
        <w:tc>
          <w:tcPr>
            <w:tcW w:w="102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04/01/2025</w:t>
            </w: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842</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restart"/>
          </w:tcPr>
          <w:p>
            <w:pPr>
              <w:jc w:val="center"/>
              <w:ind w:right="137"/>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6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2,526</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tcPr>
          <w:p>
            <w:pPr>
              <w:spacing w:after="0"/>
              <w:rPr>
                <w:sz w:val="12"/>
                <w:szCs w:val="12"/>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2,279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114.55</w:t>
            </w:r>
          </w:p>
        </w:tc>
        <w:tc>
          <w:tcPr>
            <w:tcW w:w="102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04/01/2025</w:t>
            </w: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5"/>
                <w:szCs w:val="5"/>
                <w:color w:val="auto"/>
              </w:rPr>
            </w:pPr>
          </w:p>
        </w:tc>
        <w:tc>
          <w:tcPr>
            <w:tcW w:w="50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2,279</w:t>
            </w:r>
          </w:p>
        </w:tc>
        <w:tc>
          <w:tcPr>
            <w:tcW w:w="3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04/01/2035</w:t>
            </w:r>
          </w:p>
        </w:tc>
        <w:tc>
          <w:tcPr>
            <w:tcW w:w="6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restart"/>
          </w:tcPr>
          <w:p>
            <w:pPr>
              <w:jc w:val="center"/>
              <w:ind w:right="137"/>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6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2,279</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1,091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vMerge w:val="continue"/>
          </w:tcPr>
          <w:p>
            <w:pPr>
              <w:spacing w:after="0"/>
              <w:rPr>
                <w:sz w:val="5"/>
                <w:szCs w:val="5"/>
                <w:color w:val="auto"/>
              </w:rPr>
            </w:pPr>
          </w:p>
        </w:tc>
        <w:tc>
          <w:tcPr>
            <w:tcW w:w="102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04/01/2025</w:t>
            </w: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5"/>
                <w:szCs w:val="5"/>
                <w:color w:val="auto"/>
              </w:rPr>
            </w:pPr>
          </w:p>
        </w:tc>
        <w:tc>
          <w:tcPr>
            <w:tcW w:w="50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1,091</w:t>
            </w:r>
          </w:p>
        </w:tc>
        <w:tc>
          <w:tcPr>
            <w:tcW w:w="3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restart"/>
          </w:tcPr>
          <w:p>
            <w:pPr>
              <w:jc w:val="center"/>
              <w:ind w:right="137"/>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6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1,091</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-2990215</wp:posOffset>
            </wp:positionV>
            <wp:extent cx="29210" cy="2995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9952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conversion upon vesting of a restricted stock award into common stock ("Common Stock").</w:t>
      </w:r>
    </w:p>
    <w:p>
      <w:pPr>
        <w:spacing w:after="0" w:line="4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convert into Common Stock on a one-for-one basis.</w:t>
      </w:r>
    </w:p>
    <w:p>
      <w:pPr>
        <w:spacing w:after="0" w:line="44"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Exempt transaction pursuant to Section 16b-3(e) - payment of exercise price or tax liability by delivering or withholding securities incident to the receipt, exercise or vesting of a security issued in accordance with Rule 16b-3. All of the shares reported as disposed of in this Form 4 were relinquished by the reporting person and cancelled by the issuer in exchange for the issuer's agreement to pay federal and state tax withholding obligations of the reporting person resulting from the vesting of restricted stock units.</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equivalent to the fair market value based on the closing market price as of April 1, 2025.</w:t>
      </w:r>
    </w:p>
    <w:p>
      <w:pPr>
        <w:spacing w:after="0" w:line="4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RSUs represents a contingent right to receive one share of Common Stock at vesting.</w:t>
      </w:r>
    </w:p>
    <w:p>
      <w:pPr>
        <w:spacing w:after="0" w:line="44" w:lineRule="exact"/>
        <w:rPr>
          <w:rFonts w:ascii="Times New Roman" w:cs="Times New Roman" w:eastAsia="Times New Roman" w:hAnsi="Times New Roman"/>
          <w:sz w:val="13"/>
          <w:szCs w:val="13"/>
          <w:color w:val="008000"/>
        </w:rPr>
      </w:pPr>
    </w:p>
    <w:p>
      <w:pPr>
        <w:ind w:left="40" w:right="500" w:firstLine="3"/>
        <w:spacing w:after="0" w:line="25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vest and become exercisable in 25% installments on each anniversary date of the grant, April 1, 2024, subject to continued service through each applicable vesting date. The reporting person was granted 3,368 RSUs, of which 842 vested on April 1, 2025; 842 vest on April 1, 2026; 842 vest on April 1, 2027; and 842 vest on April 1, 2028.</w:t>
      </w:r>
    </w:p>
    <w:p>
      <w:pPr>
        <w:spacing w:after="0" w:line="16" w:lineRule="exact"/>
        <w:rPr>
          <w:rFonts w:ascii="Times New Roman" w:cs="Times New Roman" w:eastAsia="Times New Roman" w:hAnsi="Times New Roman"/>
          <w:sz w:val="13"/>
          <w:szCs w:val="13"/>
          <w:color w:val="008000"/>
        </w:rPr>
      </w:pPr>
    </w:p>
    <w:p>
      <w:pPr>
        <w:ind w:left="40" w:right="400" w:firstLine="3"/>
        <w:spacing w:after="0" w:line="25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Options vest and become exercisable in 50% installments on each anniversary date of the grant, April 1, 2025, subject to continued service through each applicable vesting date. The reporting person was granted 2,279 options, of which 1,140 vest on April 1, 2026; and 1,139 vest on April 1, 2027.</w:t>
      </w:r>
    </w:p>
    <w:p>
      <w:pPr>
        <w:spacing w:after="0" w:line="16" w:lineRule="exact"/>
        <w:rPr>
          <w:rFonts w:ascii="Times New Roman" w:cs="Times New Roman" w:eastAsia="Times New Roman" w:hAnsi="Times New Roman"/>
          <w:sz w:val="13"/>
          <w:szCs w:val="13"/>
          <w:color w:val="008000"/>
        </w:rPr>
      </w:pPr>
    </w:p>
    <w:p>
      <w:pPr>
        <w:ind w:left="40" w:right="500" w:firstLine="3"/>
        <w:spacing w:after="0" w:line="25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vest and become exercisable in 50% installments on each anniversary date of the grant, April 1, 2025, subject to continued service through each applicable vesting date. The reporting person was granted 1,091 RSUs, of which 546 vest on April 1, 2026; and 545 vest on April 1, 2027.</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James J. Comitale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04/02/2025</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Attorney-In-Fact</w:t>
            </w:r>
          </w:p>
        </w:tc>
        <w:tc>
          <w:tcPr>
            <w:tcW w:w="460" w:type="dxa"/>
            <w:vAlign w:val="bottom"/>
            <w:tcBorders>
              <w:top w:val="single" w:sz="8" w:color="auto"/>
              <w:bottom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6" w:right="359" w:bottom="0" w:gutter="0" w:footer="0" w:header="0"/>
          <w:type w:val="continuous"/>
        </w:sectPr>
      </w:pPr>
    </w:p>
    <w:bookmarkStart w:id="1" w:name="page2"/>
    <w:bookmarkEnd w:id="1"/>
    <w:p>
      <w:pPr>
        <w:jc w:val="both"/>
        <w:ind w:right="2479" w:firstLine="3"/>
        <w:spacing w:after="0" w:line="337"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5276" TargetMode="External"/><Relationship Id="rId14" Type="http://schemas.openxmlformats.org/officeDocument/2006/relationships/hyperlink" Target="http://www.sec.gov/cgi-bin/browse-edgar?action=getcompany&amp;CIK=00016393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2025-04-03T16:05:59Z</dcterms:created>
  <dcterms:modified xsi:type="dcterms:W3CDTF">2025-04-03T16:05:59Z</dcterms:modified>
</cp:coreProperties>
</file>