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64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4070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Comitale James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283" w:lineRule="auto"/>
        <w:rPr>
          <w:sz w:val="20"/>
          <w:szCs w:val="20"/>
          <w:color w:val="auto"/>
        </w:rPr>
      </w:pPr>
      <w:r>
        <w:rPr>
          <w:rFonts w:ascii="Times New Roman" w:cs="Times New Roman" w:eastAsia="Times New Roman" w:hAnsi="Times New Roman"/>
          <w:sz w:val="17"/>
          <w:szCs w:val="17"/>
          <w:color w:val="0000FF"/>
        </w:rPr>
        <w:t>C/O OLLIE'S BARGAIN OUTLET HOLDINGS,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6295 ALLENTOWN BOULEVARD, SUITE 1</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HARRISBURG</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17112</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Ollie's Bargain Outlet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OLLI</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2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SVP, General Counsel</w:t>
            </w:r>
          </w:p>
        </w:tc>
        <w:tc>
          <w:tcPr>
            <w:tcW w:w="0" w:type="dxa"/>
            <w:vAlign w:val="bottom"/>
          </w:tcPr>
          <w:p>
            <w:pPr>
              <w:spacing w:after="0"/>
              <w:rPr>
                <w:sz w:val="1"/>
                <w:szCs w:val="1"/>
                <w:color w:val="auto"/>
              </w:rPr>
            </w:pPr>
          </w:p>
        </w:tc>
      </w:tr>
      <w:tr>
        <w:trPr>
          <w:trHeight w:val="218"/>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1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06/17/2024</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2,500</w:t>
            </w: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43.21</w:t>
            </w:r>
          </w:p>
        </w:tc>
        <w:tc>
          <w:tcPr>
            <w:tcW w:w="14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5,232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06/17/2024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2,500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89.55</w:t>
            </w:r>
            <w:r>
              <w:rPr>
                <w:rFonts w:ascii="Times New Roman" w:cs="Times New Roman" w:eastAsia="Times New Roman" w:hAnsi="Times New Roman"/>
                <w:sz w:val="21"/>
                <w:szCs w:val="21"/>
                <w:color w:val="008000"/>
                <w:vertAlign w:val="superscript"/>
              </w:rPr>
              <w:t>(1)</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2,732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10"/>
          </w:tcPr>
          <w:p>
            <w:pPr>
              <w:ind w:lef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43.21</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06/17/2024</w:t>
            </w: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2,500</w:t>
            </w:r>
          </w:p>
        </w:tc>
        <w:tc>
          <w:tcPr>
            <w:tcW w:w="800" w:type="dxa"/>
            <w:vAlign w:val="bottom"/>
            <w:gridSpan w:val="2"/>
            <w:vMerge w:val="continue"/>
          </w:tcPr>
          <w:p>
            <w:pPr>
              <w:spacing w:after="0"/>
              <w:rPr>
                <w:sz w:val="5"/>
                <w:szCs w:val="5"/>
                <w:color w:val="auto"/>
              </w:rPr>
            </w:pPr>
          </w:p>
        </w:tc>
        <w:tc>
          <w:tcPr>
            <w:tcW w:w="68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03/25/2032</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6,805</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price at which these shares were sold in a single transaction.</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vest and become exercisable in 25% installments on each anniversary date of the grant, March 25, 2022, subject to continued service through each applicable vesting date. The reporting person was granted 9,305 options, of which 2,326 vested on March 25, 2023; 2,327 vested on March 25, 2024; 2,326 vest on March 25, 2025; and 2,326 vest on March 25, 2026.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James J. Comitale</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06/18/2024</w:t>
            </w:r>
          </w:p>
        </w:tc>
      </w:tr>
      <w:tr>
        <w:trPr>
          <w:trHeight w:val="20"/>
        </w:trPr>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9656" TargetMode="External"/><Relationship Id="rId13" Type="http://schemas.openxmlformats.org/officeDocument/2006/relationships/hyperlink" Target="http://www.sec.gov/cgi-bin/browse-edgar?action=getcompany&amp;CIK=00016393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2024-06-20T16:12:20Z</dcterms:created>
  <dcterms:modified xsi:type="dcterms:W3CDTF">2024-06-20T16:12:20Z</dcterms:modified>
</cp:coreProperties>
</file>